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0A" w:rsidRPr="002C0C37" w:rsidRDefault="002C0C37" w:rsidP="002C0C37">
      <w:pPr>
        <w:shd w:val="clear" w:color="auto" w:fill="FFFFFF"/>
        <w:spacing w:before="100" w:beforeAutospacing="1" w:after="240" w:line="195" w:lineRule="atLeast"/>
        <w:jc w:val="center"/>
        <w:rPr>
          <w:rFonts w:eastAsia="Times New Roman" w:cstheme="minorHAnsi"/>
          <w:b/>
          <w:color w:val="1D2228"/>
          <w:sz w:val="40"/>
          <w:szCs w:val="28"/>
          <w:u w:val="single"/>
          <w:lang w:eastAsia="fr-FR"/>
        </w:rPr>
      </w:pPr>
      <w:r w:rsidRPr="002C0C37">
        <w:rPr>
          <w:rFonts w:eastAsia="Times New Roman" w:cstheme="minorHAnsi"/>
          <w:b/>
          <w:color w:val="1D2228"/>
          <w:sz w:val="40"/>
          <w:szCs w:val="28"/>
          <w:u w:val="single"/>
          <w:lang w:eastAsia="fr-FR"/>
        </w:rPr>
        <w:t>Le</w:t>
      </w:r>
      <w:r w:rsidR="00C55A1B" w:rsidRPr="002C0C37">
        <w:rPr>
          <w:rFonts w:eastAsia="Times New Roman" w:cstheme="minorHAnsi"/>
          <w:b/>
          <w:color w:val="1D2228"/>
          <w:sz w:val="40"/>
          <w:szCs w:val="28"/>
          <w:u w:val="single"/>
          <w:lang w:eastAsia="fr-FR"/>
        </w:rPr>
        <w:t xml:space="preserve"> point sur la cybersécurité </w:t>
      </w:r>
      <w:r>
        <w:rPr>
          <w:rFonts w:eastAsia="Times New Roman" w:cstheme="minorHAnsi"/>
          <w:b/>
          <w:color w:val="1D2228"/>
          <w:sz w:val="40"/>
          <w:szCs w:val="28"/>
          <w:u w:val="single"/>
          <w:lang w:eastAsia="fr-FR"/>
        </w:rPr>
        <w:t>au Mali</w:t>
      </w:r>
      <w:r w:rsidR="00C55A1B" w:rsidRPr="002C0C37">
        <w:rPr>
          <w:rFonts w:eastAsia="Times New Roman" w:cstheme="minorHAnsi"/>
          <w:b/>
          <w:color w:val="1D2228"/>
          <w:sz w:val="40"/>
          <w:szCs w:val="28"/>
          <w:u w:val="single"/>
          <w:lang w:eastAsia="fr-FR"/>
        </w:rPr>
        <w:t>.</w:t>
      </w:r>
    </w:p>
    <w:p w:rsidR="00C55A1B" w:rsidRPr="002C0C37" w:rsidRDefault="0024760A" w:rsidP="00C55A1B">
      <w:pPr>
        <w:shd w:val="clear" w:color="auto" w:fill="FFFFFF"/>
        <w:spacing w:before="100" w:beforeAutospacing="1" w:after="240" w:line="195" w:lineRule="atLeast"/>
        <w:rPr>
          <w:rFonts w:eastAsia="Times New Roman" w:cstheme="minorHAnsi"/>
          <w:b/>
          <w:color w:val="1D2228"/>
          <w:sz w:val="28"/>
          <w:szCs w:val="28"/>
          <w:lang w:eastAsia="fr-FR"/>
        </w:rPr>
      </w:pPr>
      <w:r w:rsidRPr="002C0C37">
        <w:rPr>
          <w:rFonts w:eastAsia="Times New Roman" w:cstheme="minorHAnsi"/>
          <w:b/>
          <w:color w:val="1D2228"/>
          <w:sz w:val="28"/>
          <w:szCs w:val="28"/>
          <w:lang w:eastAsia="fr-FR"/>
        </w:rPr>
        <w:t>Les productions de l’équipe nationale du Mali</w:t>
      </w:r>
      <w:r w:rsidR="002C0C37">
        <w:rPr>
          <w:rFonts w:eastAsia="Times New Roman" w:cstheme="minorHAnsi"/>
          <w:b/>
          <w:color w:val="1D2228"/>
          <w:sz w:val="28"/>
          <w:szCs w:val="28"/>
          <w:lang w:eastAsia="fr-FR"/>
        </w:rPr>
        <w:t xml:space="preserve"> sur les points suivants</w:t>
      </w:r>
      <w:r w:rsidR="002C0C37" w:rsidRPr="002C0C37">
        <w:rPr>
          <w:rFonts w:eastAsia="Times New Roman" w:cstheme="minorHAnsi"/>
          <w:b/>
          <w:color w:val="1D2228"/>
          <w:sz w:val="28"/>
          <w:szCs w:val="28"/>
          <w:lang w:eastAsia="fr-FR"/>
        </w:rPr>
        <w:t xml:space="preserve"> </w:t>
      </w:r>
      <w:r w:rsidR="00C55A1B" w:rsidRPr="002C0C37">
        <w:rPr>
          <w:rFonts w:eastAsia="Times New Roman" w:cstheme="minorHAnsi"/>
          <w:b/>
          <w:color w:val="1D2228"/>
          <w:sz w:val="28"/>
          <w:szCs w:val="28"/>
          <w:lang w:eastAsia="fr-FR"/>
        </w:rPr>
        <w:t>:</w:t>
      </w:r>
    </w:p>
    <w:p w:rsidR="00C55A1B" w:rsidRPr="002C0C37" w:rsidRDefault="00C55A1B" w:rsidP="00C55A1B">
      <w:pPr>
        <w:numPr>
          <w:ilvl w:val="0"/>
          <w:numId w:val="2"/>
        </w:numPr>
        <w:shd w:val="clear" w:color="auto" w:fill="FFFFFF"/>
        <w:spacing w:before="100" w:beforeAutospacing="1" w:after="100" w:afterAutospacing="1" w:line="240" w:lineRule="auto"/>
        <w:rPr>
          <w:rFonts w:eastAsia="Times New Roman" w:cstheme="minorHAnsi"/>
          <w:b/>
          <w:color w:val="1D2228"/>
          <w:sz w:val="28"/>
          <w:szCs w:val="28"/>
          <w:u w:val="single"/>
          <w:lang w:eastAsia="fr-FR"/>
        </w:rPr>
      </w:pPr>
      <w:r w:rsidRPr="002C0C37">
        <w:rPr>
          <w:rFonts w:eastAsia="Times New Roman" w:cstheme="minorHAnsi"/>
          <w:b/>
          <w:color w:val="1D2228"/>
          <w:sz w:val="28"/>
          <w:szCs w:val="28"/>
          <w:u w:val="single"/>
          <w:lang w:eastAsia="fr-FR"/>
        </w:rPr>
        <w:t>Stratégies nationales de cybersécurité (SNCS)</w:t>
      </w:r>
    </w:p>
    <w:p w:rsidR="00902C34" w:rsidRPr="002C0C37" w:rsidRDefault="00902C34" w:rsidP="00902C34">
      <w:pPr>
        <w:shd w:val="clear" w:color="auto" w:fill="FFFFFF"/>
        <w:spacing w:before="100" w:beforeAutospacing="1" w:after="100" w:afterAutospacing="1" w:line="240" w:lineRule="auto"/>
        <w:rPr>
          <w:rFonts w:cstheme="minorHAnsi"/>
          <w:sz w:val="28"/>
          <w:szCs w:val="28"/>
        </w:rPr>
      </w:pPr>
      <w:r w:rsidRPr="002C0C37">
        <w:rPr>
          <w:rFonts w:cstheme="minorHAnsi"/>
          <w:sz w:val="28"/>
          <w:szCs w:val="28"/>
        </w:rPr>
        <w:t>L’ambition du Gouvernement est, dans un premier plan, de se doter d’une stratégie nationale de cyber sécurité et un cadre juridique et institutionnel aligné aux meilleures pratiques internationales et régionales qui s’adaptent au contexte local.  Ensuite, de mettre en place les instances nécessaires pour veiller à un Internet sain et pour intervenir en urgence en cas de nécessité, notamment par rapport aux plateformes d’E-administration qui seront déployées par le Gouvernement.</w:t>
      </w:r>
    </w:p>
    <w:p w:rsidR="00341A94" w:rsidRPr="002C0C37" w:rsidRDefault="0024760A" w:rsidP="00902C34">
      <w:pPr>
        <w:shd w:val="clear" w:color="auto" w:fill="FFFFFF"/>
        <w:spacing w:before="100" w:beforeAutospacing="1" w:after="100" w:afterAutospacing="1" w:line="240" w:lineRule="auto"/>
        <w:rPr>
          <w:rFonts w:eastAsia="Times New Roman" w:cstheme="minorHAnsi"/>
          <w:color w:val="1D2228"/>
          <w:sz w:val="28"/>
          <w:szCs w:val="28"/>
          <w:lang w:eastAsia="fr-FR"/>
        </w:rPr>
      </w:pPr>
      <w:r w:rsidRPr="002C0C37">
        <w:rPr>
          <w:rFonts w:cstheme="minorHAnsi"/>
          <w:sz w:val="28"/>
          <w:szCs w:val="28"/>
        </w:rPr>
        <w:t>Ainsi, il</w:t>
      </w:r>
      <w:r w:rsidR="00341A94" w:rsidRPr="002C0C37">
        <w:rPr>
          <w:rFonts w:cstheme="minorHAnsi"/>
          <w:sz w:val="28"/>
          <w:szCs w:val="28"/>
        </w:rPr>
        <w:t xml:space="preserve"> y a de cela quelques mois l’élaboration de la stratégie nationale de Cyber sécurité a été </w:t>
      </w:r>
      <w:proofErr w:type="gramStart"/>
      <w:r w:rsidR="00341A94" w:rsidRPr="002C0C37">
        <w:rPr>
          <w:rFonts w:cstheme="minorHAnsi"/>
          <w:sz w:val="28"/>
          <w:szCs w:val="28"/>
        </w:rPr>
        <w:t>lancée ,</w:t>
      </w:r>
      <w:proofErr w:type="gramEnd"/>
      <w:r w:rsidR="00341A94" w:rsidRPr="002C0C37">
        <w:rPr>
          <w:rFonts w:cstheme="minorHAnsi"/>
          <w:sz w:val="28"/>
          <w:szCs w:val="28"/>
        </w:rPr>
        <w:t xml:space="preserve"> un rapport provisoire ci-joint a été produit et un atelier de validation est prévu du 5 au 8 Octobre par l’AMRTP.</w:t>
      </w:r>
    </w:p>
    <w:p w:rsidR="00902C34" w:rsidRPr="002C0C37" w:rsidRDefault="00902C34" w:rsidP="00902C34">
      <w:pPr>
        <w:shd w:val="clear" w:color="auto" w:fill="FFFFFF"/>
        <w:spacing w:before="100" w:beforeAutospacing="1" w:after="100" w:afterAutospacing="1" w:line="240" w:lineRule="auto"/>
        <w:rPr>
          <w:rFonts w:eastAsia="Times New Roman" w:cstheme="minorHAnsi"/>
          <w:color w:val="1D2228"/>
          <w:sz w:val="28"/>
          <w:szCs w:val="28"/>
          <w:lang w:eastAsia="fr-FR"/>
        </w:rPr>
      </w:pPr>
      <w:r w:rsidRPr="002C0C37">
        <w:rPr>
          <w:rFonts w:eastAsia="Times New Roman" w:cstheme="minorHAnsi"/>
          <w:color w:val="1D2228"/>
          <w:sz w:val="28"/>
          <w:szCs w:val="28"/>
          <w:lang w:eastAsia="fr-FR"/>
        </w:rPr>
        <w:t>.</w:t>
      </w:r>
    </w:p>
    <w:p w:rsidR="00C55A1B" w:rsidRPr="002C0C37" w:rsidRDefault="00C55A1B" w:rsidP="00C55A1B">
      <w:pPr>
        <w:numPr>
          <w:ilvl w:val="0"/>
          <w:numId w:val="2"/>
        </w:numPr>
        <w:shd w:val="clear" w:color="auto" w:fill="FFFFFF"/>
        <w:spacing w:before="100" w:beforeAutospacing="1" w:after="100" w:afterAutospacing="1" w:line="240" w:lineRule="auto"/>
        <w:rPr>
          <w:rFonts w:eastAsia="Times New Roman" w:cstheme="minorHAnsi"/>
          <w:b/>
          <w:color w:val="1D2228"/>
          <w:sz w:val="28"/>
          <w:szCs w:val="28"/>
          <w:u w:val="single"/>
          <w:lang w:eastAsia="fr-FR"/>
        </w:rPr>
      </w:pPr>
      <w:r w:rsidRPr="002C0C37">
        <w:rPr>
          <w:rFonts w:eastAsia="Times New Roman" w:cstheme="minorHAnsi"/>
          <w:b/>
          <w:color w:val="1D2228"/>
          <w:sz w:val="28"/>
          <w:szCs w:val="28"/>
          <w:u w:val="single"/>
          <w:lang w:eastAsia="fr-FR"/>
        </w:rPr>
        <w:t>Équipes d'intervention en cas d'incident de sécurité informatique (CSIRT)</w:t>
      </w:r>
    </w:p>
    <w:p w:rsidR="0024760A" w:rsidRPr="002C0C37" w:rsidRDefault="0024760A" w:rsidP="0024760A">
      <w:pPr>
        <w:rPr>
          <w:rFonts w:cstheme="minorHAnsi"/>
          <w:sz w:val="28"/>
          <w:szCs w:val="28"/>
        </w:rPr>
      </w:pPr>
      <w:r w:rsidRPr="002C0C37">
        <w:rPr>
          <w:rFonts w:cstheme="minorHAnsi"/>
          <w:sz w:val="28"/>
          <w:szCs w:val="28"/>
        </w:rPr>
        <w:t>Le processus de finalisation de la mise en place du ML-CERT en cours.</w:t>
      </w:r>
      <w:r w:rsidRPr="002C0C37">
        <w:rPr>
          <w:rFonts w:cstheme="minorHAnsi"/>
          <w:sz w:val="28"/>
          <w:szCs w:val="28"/>
        </w:rPr>
        <w:t xml:space="preserve"> Le service chargé de passation de marché du Mali</w:t>
      </w:r>
      <w:r w:rsidRPr="002C0C37">
        <w:rPr>
          <w:rFonts w:cstheme="minorHAnsi"/>
          <w:sz w:val="28"/>
          <w:szCs w:val="28"/>
        </w:rPr>
        <w:t xml:space="preserve"> a été saisie et leur retour est attendu pour le déclenchement du processus de recrutement d’un cabinet expert pour un appui à la mise en place du ML-CERT.</w:t>
      </w:r>
    </w:p>
    <w:p w:rsidR="0024760A" w:rsidRPr="002C0C37" w:rsidRDefault="0024760A" w:rsidP="0024760A">
      <w:pPr>
        <w:shd w:val="clear" w:color="auto" w:fill="FFFFFF"/>
        <w:spacing w:before="100" w:beforeAutospacing="1" w:after="100" w:afterAutospacing="1" w:line="240" w:lineRule="auto"/>
        <w:rPr>
          <w:rFonts w:eastAsia="Times New Roman" w:cstheme="minorHAnsi"/>
          <w:b/>
          <w:color w:val="1D2228"/>
          <w:sz w:val="28"/>
          <w:szCs w:val="28"/>
          <w:u w:val="single"/>
          <w:lang w:eastAsia="fr-FR"/>
        </w:rPr>
      </w:pPr>
      <w:r w:rsidRPr="002C0C37">
        <w:rPr>
          <w:rFonts w:cstheme="minorHAnsi"/>
          <w:sz w:val="28"/>
          <w:szCs w:val="28"/>
        </w:rPr>
        <w:t xml:space="preserve">A ce stade, nous ne pouvons pas </w:t>
      </w:r>
      <w:r w:rsidRPr="002C0C37">
        <w:rPr>
          <w:rFonts w:cstheme="minorHAnsi"/>
          <w:sz w:val="28"/>
          <w:szCs w:val="28"/>
        </w:rPr>
        <w:t>parler</w:t>
      </w:r>
      <w:r w:rsidRPr="002C0C37">
        <w:rPr>
          <w:rFonts w:cstheme="minorHAnsi"/>
          <w:sz w:val="28"/>
          <w:szCs w:val="28"/>
        </w:rPr>
        <w:t xml:space="preserve"> d’équipe d’intervention d’urgence.</w:t>
      </w:r>
    </w:p>
    <w:p w:rsidR="00C55A1B" w:rsidRPr="002C0C37" w:rsidRDefault="00C55A1B" w:rsidP="00C55A1B">
      <w:pPr>
        <w:numPr>
          <w:ilvl w:val="0"/>
          <w:numId w:val="2"/>
        </w:numPr>
        <w:shd w:val="clear" w:color="auto" w:fill="FFFFFF"/>
        <w:spacing w:before="100" w:beforeAutospacing="1" w:after="100" w:afterAutospacing="1" w:line="240" w:lineRule="auto"/>
        <w:rPr>
          <w:rFonts w:eastAsia="Times New Roman" w:cstheme="minorHAnsi"/>
          <w:b/>
          <w:color w:val="1D2228"/>
          <w:sz w:val="28"/>
          <w:szCs w:val="28"/>
          <w:u w:val="single"/>
          <w:lang w:eastAsia="fr-FR"/>
        </w:rPr>
      </w:pPr>
      <w:r w:rsidRPr="002C0C37">
        <w:rPr>
          <w:rFonts w:eastAsia="Times New Roman" w:cstheme="minorHAnsi"/>
          <w:b/>
          <w:color w:val="1D2228"/>
          <w:sz w:val="28"/>
          <w:szCs w:val="28"/>
          <w:u w:val="single"/>
          <w:lang w:eastAsia="fr-FR"/>
        </w:rPr>
        <w:t>Protection des infrastructures critiques (PIC)</w:t>
      </w:r>
    </w:p>
    <w:p w:rsidR="0024760A" w:rsidRPr="002C0C37" w:rsidRDefault="0024760A" w:rsidP="0024760A">
      <w:pPr>
        <w:shd w:val="clear" w:color="auto" w:fill="FFFFFF"/>
        <w:spacing w:before="100" w:beforeAutospacing="1" w:after="100" w:afterAutospacing="1" w:line="240" w:lineRule="auto"/>
        <w:rPr>
          <w:rFonts w:eastAsia="Times New Roman" w:cstheme="minorHAnsi"/>
          <w:b/>
          <w:color w:val="1D2228"/>
          <w:sz w:val="28"/>
          <w:szCs w:val="28"/>
          <w:u w:val="single"/>
          <w:lang w:eastAsia="fr-FR"/>
        </w:rPr>
      </w:pPr>
      <w:r w:rsidRPr="002C0C37">
        <w:rPr>
          <w:rFonts w:cstheme="minorHAnsi"/>
          <w:sz w:val="28"/>
          <w:szCs w:val="28"/>
        </w:rPr>
        <w:t>Les infrastructure critiques ne sont pas officiellement identifiées au Mali, d</w:t>
      </w:r>
      <w:r w:rsidRPr="002C0C37">
        <w:rPr>
          <w:rFonts w:cstheme="minorHAnsi"/>
          <w:sz w:val="28"/>
          <w:szCs w:val="28"/>
        </w:rPr>
        <w:t>ans la</w:t>
      </w:r>
      <w:r w:rsidRPr="002C0C37">
        <w:rPr>
          <w:rFonts w:cstheme="minorHAnsi"/>
          <w:sz w:val="28"/>
          <w:szCs w:val="28"/>
        </w:rPr>
        <w:t xml:space="preserve"> version provisoire de </w:t>
      </w:r>
      <w:proofErr w:type="gramStart"/>
      <w:r w:rsidRPr="002C0C37">
        <w:rPr>
          <w:rFonts w:cstheme="minorHAnsi"/>
          <w:sz w:val="28"/>
          <w:szCs w:val="28"/>
        </w:rPr>
        <w:t xml:space="preserve">la </w:t>
      </w:r>
      <w:r w:rsidRPr="002C0C37">
        <w:rPr>
          <w:rFonts w:cstheme="minorHAnsi"/>
          <w:sz w:val="28"/>
          <w:szCs w:val="28"/>
        </w:rPr>
        <w:t xml:space="preserve"> stratégie</w:t>
      </w:r>
      <w:proofErr w:type="gramEnd"/>
      <w:r w:rsidRPr="002C0C37">
        <w:rPr>
          <w:rFonts w:cstheme="minorHAnsi"/>
          <w:sz w:val="28"/>
          <w:szCs w:val="28"/>
        </w:rPr>
        <w:t xml:space="preserve"> nationale de cyber sécurité, il est prévu des actions d’identifications des infrastructures nationales dites critiques.</w:t>
      </w:r>
    </w:p>
    <w:p w:rsidR="00C55A1B" w:rsidRPr="002C0C37" w:rsidRDefault="00C55A1B" w:rsidP="00C55A1B">
      <w:pPr>
        <w:numPr>
          <w:ilvl w:val="0"/>
          <w:numId w:val="2"/>
        </w:numPr>
        <w:shd w:val="clear" w:color="auto" w:fill="FFFFFF"/>
        <w:spacing w:before="100" w:beforeAutospacing="1" w:after="100" w:afterAutospacing="1" w:line="240" w:lineRule="auto"/>
        <w:rPr>
          <w:rFonts w:eastAsia="Times New Roman" w:cstheme="minorHAnsi"/>
          <w:b/>
          <w:color w:val="1D2228"/>
          <w:sz w:val="28"/>
          <w:szCs w:val="28"/>
          <w:u w:val="single"/>
          <w:lang w:eastAsia="fr-FR"/>
        </w:rPr>
      </w:pPr>
      <w:r w:rsidRPr="002C0C37">
        <w:rPr>
          <w:rFonts w:eastAsia="Times New Roman" w:cstheme="minorHAnsi"/>
          <w:b/>
          <w:color w:val="1D2228"/>
          <w:sz w:val="28"/>
          <w:szCs w:val="28"/>
          <w:u w:val="single"/>
          <w:lang w:eastAsia="fr-FR"/>
        </w:rPr>
        <w:t>Législation et cadres juridiques relatifs à la cybersécurité</w:t>
      </w:r>
    </w:p>
    <w:p w:rsidR="00094086" w:rsidRPr="002C0C37" w:rsidRDefault="00094086" w:rsidP="00094086">
      <w:pPr>
        <w:ind w:left="708"/>
        <w:jc w:val="both"/>
        <w:rPr>
          <w:rFonts w:cstheme="minorHAnsi"/>
          <w:b/>
          <w:spacing w:val="22"/>
          <w:sz w:val="28"/>
          <w:szCs w:val="28"/>
        </w:rPr>
      </w:pPr>
      <w:r w:rsidRPr="002C0C37">
        <w:rPr>
          <w:rFonts w:cstheme="minorHAnsi"/>
          <w:b/>
          <w:spacing w:val="22"/>
          <w:sz w:val="28"/>
          <w:szCs w:val="28"/>
        </w:rPr>
        <w:t>Lois</w:t>
      </w:r>
    </w:p>
    <w:p w:rsidR="00094086" w:rsidRPr="002C0C37" w:rsidRDefault="00094086" w:rsidP="00094086">
      <w:pPr>
        <w:ind w:left="708"/>
        <w:jc w:val="both"/>
        <w:rPr>
          <w:rFonts w:cstheme="minorHAnsi"/>
          <w:b/>
          <w:spacing w:val="22"/>
          <w:sz w:val="28"/>
          <w:szCs w:val="28"/>
        </w:rPr>
      </w:pPr>
    </w:p>
    <w:p w:rsidR="00094086" w:rsidRPr="002C0C37" w:rsidRDefault="00094086" w:rsidP="00094086">
      <w:pPr>
        <w:pStyle w:val="Paragraphedeliste"/>
        <w:numPr>
          <w:ilvl w:val="0"/>
          <w:numId w:val="3"/>
        </w:numPr>
        <w:spacing w:before="120" w:after="120"/>
        <w:ind w:left="1066" w:hanging="357"/>
        <w:contextualSpacing w:val="0"/>
        <w:rPr>
          <w:rFonts w:asciiTheme="minorHAnsi" w:hAnsiTheme="minorHAnsi" w:cstheme="minorHAnsi"/>
          <w:spacing w:val="20"/>
          <w:sz w:val="28"/>
          <w:szCs w:val="28"/>
        </w:rPr>
      </w:pPr>
      <w:r w:rsidRPr="002C0C37">
        <w:rPr>
          <w:rFonts w:asciiTheme="minorHAnsi" w:hAnsiTheme="minorHAnsi" w:cstheme="minorHAnsi"/>
          <w:sz w:val="28"/>
          <w:szCs w:val="28"/>
        </w:rPr>
        <w:lastRenderedPageBreak/>
        <w:t>Loi N°2013-015/du 21 mai 2013 portant Protection des Données à Caractère personnel en République du Mali </w:t>
      </w:r>
      <w:r w:rsidRPr="002C0C37">
        <w:rPr>
          <w:rFonts w:asciiTheme="minorHAnsi" w:hAnsiTheme="minorHAnsi" w:cstheme="minorHAnsi"/>
          <w:spacing w:val="20"/>
          <w:sz w:val="28"/>
          <w:szCs w:val="28"/>
        </w:rPr>
        <w:t>;</w:t>
      </w:r>
    </w:p>
    <w:p w:rsidR="00094086" w:rsidRPr="002C0C37" w:rsidRDefault="00094086" w:rsidP="00094086">
      <w:pPr>
        <w:pStyle w:val="Paragraphedeliste"/>
        <w:numPr>
          <w:ilvl w:val="0"/>
          <w:numId w:val="3"/>
        </w:numPr>
        <w:spacing w:before="120" w:after="120"/>
        <w:ind w:left="1066" w:hanging="357"/>
        <w:contextualSpacing w:val="0"/>
        <w:rPr>
          <w:rFonts w:asciiTheme="minorHAnsi" w:hAnsiTheme="minorHAnsi" w:cstheme="minorHAnsi"/>
          <w:spacing w:val="20"/>
          <w:sz w:val="28"/>
          <w:szCs w:val="28"/>
        </w:rPr>
      </w:pPr>
      <w:r w:rsidRPr="002C0C37">
        <w:rPr>
          <w:rFonts w:asciiTheme="minorHAnsi" w:hAnsiTheme="minorHAnsi" w:cstheme="minorHAnsi"/>
          <w:spacing w:val="20"/>
          <w:sz w:val="28"/>
          <w:szCs w:val="28"/>
        </w:rPr>
        <w:t>Loi N°2016-011 du 6 mai 2016 portant sur les règles applicables aux moyens, modalités, prestations et systèmes de cryptologie au Mali ;</w:t>
      </w:r>
    </w:p>
    <w:p w:rsidR="00094086" w:rsidRPr="002C0C37" w:rsidRDefault="00094086" w:rsidP="00094086">
      <w:pPr>
        <w:pStyle w:val="Paragraphedeliste"/>
        <w:numPr>
          <w:ilvl w:val="0"/>
          <w:numId w:val="3"/>
        </w:numPr>
        <w:spacing w:before="120" w:after="120"/>
        <w:ind w:left="1066" w:hanging="357"/>
        <w:contextualSpacing w:val="0"/>
        <w:jc w:val="both"/>
        <w:rPr>
          <w:rFonts w:asciiTheme="minorHAnsi" w:hAnsiTheme="minorHAnsi" w:cstheme="minorHAnsi"/>
          <w:spacing w:val="20"/>
          <w:sz w:val="28"/>
          <w:szCs w:val="28"/>
        </w:rPr>
      </w:pPr>
      <w:r w:rsidRPr="002C0C37">
        <w:rPr>
          <w:rFonts w:asciiTheme="minorHAnsi" w:hAnsiTheme="minorHAnsi" w:cstheme="minorHAnsi"/>
          <w:i/>
          <w:spacing w:val="20"/>
          <w:sz w:val="28"/>
          <w:szCs w:val="28"/>
        </w:rPr>
        <w:t> </w:t>
      </w:r>
      <w:r w:rsidRPr="002C0C37">
        <w:rPr>
          <w:rFonts w:asciiTheme="minorHAnsi" w:hAnsiTheme="minorHAnsi" w:cstheme="minorHAnsi"/>
          <w:sz w:val="28"/>
          <w:szCs w:val="28"/>
        </w:rPr>
        <w:t>Loi N°2016-012 du 6 mai 2016 relative aux transactions, échanges et services électroniques ;</w:t>
      </w:r>
    </w:p>
    <w:p w:rsidR="00094086" w:rsidRPr="002C0C37" w:rsidRDefault="00094086" w:rsidP="00094086">
      <w:pPr>
        <w:pStyle w:val="Paragraphedeliste"/>
        <w:numPr>
          <w:ilvl w:val="0"/>
          <w:numId w:val="3"/>
        </w:numPr>
        <w:spacing w:before="120" w:after="120"/>
        <w:ind w:left="1066" w:hanging="357"/>
        <w:contextualSpacing w:val="0"/>
        <w:jc w:val="both"/>
        <w:rPr>
          <w:rFonts w:asciiTheme="minorHAnsi" w:hAnsiTheme="minorHAnsi" w:cstheme="minorHAnsi"/>
          <w:sz w:val="28"/>
          <w:szCs w:val="28"/>
        </w:rPr>
      </w:pPr>
      <w:r w:rsidRPr="002C0C37">
        <w:rPr>
          <w:rFonts w:asciiTheme="minorHAnsi" w:hAnsiTheme="minorHAnsi" w:cstheme="minorHAnsi"/>
          <w:sz w:val="28"/>
          <w:szCs w:val="28"/>
        </w:rPr>
        <w:t>Loi N°2017-062/du 18 décembre 2017 portant loi d’orientation sur la Société de l’Information au Mali ;</w:t>
      </w:r>
    </w:p>
    <w:p w:rsidR="00094086" w:rsidRPr="002C0C37" w:rsidRDefault="00094086" w:rsidP="00094086">
      <w:pPr>
        <w:pStyle w:val="Paragraphedeliste"/>
        <w:numPr>
          <w:ilvl w:val="0"/>
          <w:numId w:val="3"/>
        </w:numPr>
        <w:spacing w:before="120" w:after="120"/>
        <w:ind w:left="1066" w:hanging="357"/>
        <w:contextualSpacing w:val="0"/>
        <w:jc w:val="both"/>
        <w:rPr>
          <w:rFonts w:asciiTheme="minorHAnsi" w:hAnsiTheme="minorHAnsi" w:cstheme="minorHAnsi"/>
          <w:sz w:val="28"/>
          <w:szCs w:val="28"/>
        </w:rPr>
      </w:pPr>
      <w:r w:rsidRPr="002C0C37">
        <w:rPr>
          <w:rFonts w:asciiTheme="minorHAnsi" w:hAnsiTheme="minorHAnsi" w:cstheme="minorHAnsi"/>
          <w:sz w:val="28"/>
          <w:szCs w:val="28"/>
        </w:rPr>
        <w:t>Loi N°2019-056/du 05 décembre 2019 portant répression de la Cybercriminalité.</w:t>
      </w:r>
    </w:p>
    <w:p w:rsidR="00094086" w:rsidRPr="002C0C37" w:rsidRDefault="00094086" w:rsidP="00094086">
      <w:pPr>
        <w:spacing w:before="2" w:line="160" w:lineRule="exact"/>
        <w:jc w:val="both"/>
        <w:rPr>
          <w:rFonts w:cstheme="minorHAnsi"/>
          <w:sz w:val="28"/>
          <w:szCs w:val="28"/>
        </w:rPr>
      </w:pPr>
    </w:p>
    <w:p w:rsidR="00094086" w:rsidRPr="00B337AB" w:rsidRDefault="00094086" w:rsidP="00094086">
      <w:pPr>
        <w:ind w:left="708"/>
        <w:jc w:val="both"/>
        <w:rPr>
          <w:rFonts w:eastAsia="Times New Roman" w:cstheme="minorHAnsi"/>
          <w:sz w:val="28"/>
          <w:szCs w:val="28"/>
          <w:lang w:eastAsia="fr-FR"/>
        </w:rPr>
      </w:pPr>
      <w:r w:rsidRPr="002C0C37">
        <w:rPr>
          <w:rFonts w:cstheme="minorHAnsi"/>
          <w:b/>
          <w:spacing w:val="22"/>
          <w:sz w:val="28"/>
          <w:szCs w:val="28"/>
        </w:rPr>
        <w:t>Décret</w:t>
      </w:r>
    </w:p>
    <w:p w:rsidR="00B337AB" w:rsidRPr="00815C70" w:rsidRDefault="00B337AB" w:rsidP="00B337AB">
      <w:pPr>
        <w:pStyle w:val="TiretCalibri11pt6ptavant"/>
        <w:numPr>
          <w:ilvl w:val="0"/>
          <w:numId w:val="4"/>
        </w:numPr>
        <w:rPr>
          <w:bCs/>
        </w:rPr>
      </w:pPr>
      <w:r w:rsidRPr="00B337AB">
        <w:rPr>
          <w:rFonts w:eastAsia="Times New Roman"/>
          <w:sz w:val="28"/>
          <w:szCs w:val="28"/>
        </w:rPr>
        <w:t xml:space="preserve">Le </w:t>
      </w:r>
      <w:hyperlink r:id="rId5">
        <w:r w:rsidRPr="00B337AB">
          <w:rPr>
            <w:rFonts w:eastAsia="Times New Roman"/>
            <w:sz w:val="28"/>
            <w:szCs w:val="28"/>
          </w:rPr>
          <w:t>décret n° 2016-0274/P-RM du 29 avril 2016</w:t>
        </w:r>
      </w:hyperlink>
      <w:r w:rsidRPr="00815C70">
        <w:rPr>
          <w:bCs/>
        </w:rPr>
        <w:t xml:space="preserve"> </w:t>
      </w:r>
      <w:r w:rsidRPr="00B337AB">
        <w:rPr>
          <w:rFonts w:eastAsia="Times New Roman"/>
          <w:sz w:val="28"/>
          <w:szCs w:val="28"/>
        </w:rPr>
        <w:t>fixant les conditions et les procédures d’agrément des équipements de télécommunications et des technologies de l’inf</w:t>
      </w:r>
      <w:r>
        <w:rPr>
          <w:rFonts w:eastAsia="Times New Roman"/>
          <w:sz w:val="28"/>
          <w:szCs w:val="28"/>
        </w:rPr>
        <w:t>ormation et de la communication.</w:t>
      </w:r>
    </w:p>
    <w:p w:rsidR="00B337AB" w:rsidRPr="00B337AB" w:rsidRDefault="00B337AB" w:rsidP="00B337AB">
      <w:pPr>
        <w:pStyle w:val="Paragraphedeliste"/>
        <w:numPr>
          <w:ilvl w:val="0"/>
          <w:numId w:val="4"/>
        </w:numPr>
        <w:jc w:val="both"/>
        <w:rPr>
          <w:rFonts w:cstheme="minorHAnsi"/>
          <w:b/>
          <w:spacing w:val="22"/>
          <w:sz w:val="28"/>
          <w:szCs w:val="28"/>
        </w:rPr>
      </w:pPr>
      <w:r w:rsidRPr="00B337AB">
        <w:rPr>
          <w:rFonts w:asciiTheme="minorHAnsi" w:hAnsiTheme="minorHAnsi" w:cstheme="minorHAnsi"/>
          <w:sz w:val="28"/>
          <w:szCs w:val="28"/>
        </w:rPr>
        <w:t xml:space="preserve">Le </w:t>
      </w:r>
      <w:hyperlink r:id="rId6">
        <w:r w:rsidRPr="00B337AB">
          <w:rPr>
            <w:rFonts w:cstheme="minorHAnsi"/>
            <w:sz w:val="28"/>
            <w:szCs w:val="28"/>
          </w:rPr>
          <w:t>décret 2016-0975/P-RM du 27 décembre 2016</w:t>
        </w:r>
      </w:hyperlink>
      <w:r w:rsidRPr="00815C70">
        <w:t xml:space="preserve"> </w:t>
      </w:r>
      <w:r w:rsidRPr="00B337AB">
        <w:rPr>
          <w:rFonts w:asciiTheme="minorHAnsi" w:hAnsiTheme="minorHAnsi" w:cstheme="minorHAnsi"/>
          <w:sz w:val="28"/>
          <w:szCs w:val="28"/>
        </w:rPr>
        <w:t>déterminant la procédure et les modalités d’interconnexion des réseaux de télécommunications/TIC</w:t>
      </w:r>
      <w:r w:rsidRPr="00815C70">
        <w:t> </w:t>
      </w:r>
    </w:p>
    <w:p w:rsidR="00094086" w:rsidRPr="002C0C37" w:rsidRDefault="00094086" w:rsidP="00B337AB">
      <w:pPr>
        <w:pStyle w:val="Paragraphedeliste"/>
        <w:numPr>
          <w:ilvl w:val="0"/>
          <w:numId w:val="4"/>
        </w:numPr>
        <w:spacing w:line="276" w:lineRule="auto"/>
        <w:jc w:val="both"/>
        <w:rPr>
          <w:rFonts w:asciiTheme="minorHAnsi" w:hAnsiTheme="minorHAnsi" w:cstheme="minorHAnsi"/>
          <w:sz w:val="28"/>
          <w:szCs w:val="28"/>
        </w:rPr>
      </w:pPr>
      <w:r w:rsidRPr="002C0C37">
        <w:rPr>
          <w:rFonts w:asciiTheme="minorHAnsi" w:hAnsiTheme="minorHAnsi" w:cstheme="minorHAnsi"/>
          <w:sz w:val="28"/>
          <w:szCs w:val="28"/>
        </w:rPr>
        <w:t>Décret N°2019-0248/P-RM du 27 mars 2019 fixant les conditions de délivrance de l’Agrément aux Prestataires de Services de Cryptologie ainsi que leurs Obligations ;</w:t>
      </w:r>
    </w:p>
    <w:p w:rsidR="00094086" w:rsidRPr="002C0C37" w:rsidRDefault="00094086" w:rsidP="00094086">
      <w:pPr>
        <w:pStyle w:val="Paragraphedeliste"/>
        <w:ind w:left="1068"/>
        <w:rPr>
          <w:rFonts w:asciiTheme="minorHAnsi" w:hAnsiTheme="minorHAnsi" w:cstheme="minorHAnsi"/>
          <w:sz w:val="28"/>
          <w:szCs w:val="28"/>
        </w:rPr>
      </w:pPr>
    </w:p>
    <w:p w:rsidR="00094086" w:rsidRDefault="00094086" w:rsidP="00B337AB">
      <w:pPr>
        <w:pStyle w:val="Paragraphedeliste"/>
        <w:numPr>
          <w:ilvl w:val="0"/>
          <w:numId w:val="4"/>
        </w:numPr>
        <w:spacing w:line="276" w:lineRule="auto"/>
        <w:jc w:val="both"/>
        <w:rPr>
          <w:rFonts w:asciiTheme="minorHAnsi" w:hAnsiTheme="minorHAnsi" w:cstheme="minorHAnsi"/>
          <w:sz w:val="28"/>
          <w:szCs w:val="28"/>
        </w:rPr>
      </w:pPr>
      <w:r w:rsidRPr="002C0C37">
        <w:rPr>
          <w:rFonts w:asciiTheme="minorHAnsi" w:hAnsiTheme="minorHAnsi" w:cstheme="minorHAnsi"/>
          <w:sz w:val="28"/>
          <w:szCs w:val="28"/>
        </w:rPr>
        <w:t>Décret N°2019-0646/P-RM du 26 août 2019 déterminant les conditions de déclaration, de la fourniture ou l’importation d’un moyen de cryptologie</w:t>
      </w:r>
    </w:p>
    <w:p w:rsidR="00B337AB" w:rsidRPr="00B337AB" w:rsidRDefault="00B337AB" w:rsidP="00B337AB">
      <w:pPr>
        <w:pStyle w:val="Paragraphedeliste"/>
        <w:rPr>
          <w:rFonts w:asciiTheme="minorHAnsi" w:hAnsiTheme="minorHAnsi" w:cstheme="minorHAnsi"/>
          <w:sz w:val="28"/>
          <w:szCs w:val="28"/>
        </w:rPr>
      </w:pPr>
    </w:p>
    <w:p w:rsidR="00B337AB" w:rsidRDefault="00B337AB" w:rsidP="00B337AB">
      <w:pPr>
        <w:spacing w:line="276" w:lineRule="auto"/>
        <w:jc w:val="both"/>
        <w:rPr>
          <w:rFonts w:cstheme="minorHAnsi"/>
          <w:sz w:val="28"/>
          <w:szCs w:val="28"/>
        </w:rPr>
      </w:pPr>
    </w:p>
    <w:p w:rsidR="00C55A1B" w:rsidRPr="002C0C37" w:rsidRDefault="00C55A1B" w:rsidP="00C55A1B">
      <w:pPr>
        <w:numPr>
          <w:ilvl w:val="0"/>
          <w:numId w:val="2"/>
        </w:numPr>
        <w:shd w:val="clear" w:color="auto" w:fill="FFFFFF"/>
        <w:spacing w:before="100" w:beforeAutospacing="1" w:after="100" w:afterAutospacing="1" w:line="240" w:lineRule="auto"/>
        <w:rPr>
          <w:rFonts w:eastAsia="Times New Roman" w:cstheme="minorHAnsi"/>
          <w:b/>
          <w:color w:val="1D2228"/>
          <w:sz w:val="28"/>
          <w:szCs w:val="28"/>
          <w:u w:val="single"/>
          <w:lang w:eastAsia="fr-FR"/>
        </w:rPr>
      </w:pPr>
      <w:bookmarkStart w:id="0" w:name="_GoBack"/>
      <w:bookmarkEnd w:id="0"/>
      <w:r w:rsidRPr="002C0C37">
        <w:rPr>
          <w:rFonts w:eastAsia="Times New Roman" w:cstheme="minorHAnsi"/>
          <w:b/>
          <w:color w:val="1D2228"/>
          <w:sz w:val="28"/>
          <w:szCs w:val="28"/>
          <w:u w:val="single"/>
          <w:lang w:eastAsia="fr-FR"/>
        </w:rPr>
        <w:t>Sensibilisation à la cybersécurité, compétences et développement des ressources humaines.</w:t>
      </w:r>
    </w:p>
    <w:p w:rsidR="002C0C37" w:rsidRPr="002C0C37" w:rsidRDefault="00C55A1B" w:rsidP="00CA111D">
      <w:pPr>
        <w:rPr>
          <w:rFonts w:cstheme="minorHAnsi"/>
          <w:sz w:val="28"/>
          <w:szCs w:val="28"/>
        </w:rPr>
      </w:pPr>
      <w:r w:rsidRPr="002C0C37">
        <w:rPr>
          <w:rFonts w:eastAsia="Times New Roman" w:cstheme="minorHAnsi"/>
          <w:color w:val="1D2228"/>
          <w:sz w:val="28"/>
          <w:szCs w:val="28"/>
          <w:lang w:eastAsia="fr-FR"/>
        </w:rPr>
        <w:br/>
      </w:r>
      <w:r w:rsidR="002C0C37" w:rsidRPr="002C0C37">
        <w:rPr>
          <w:rFonts w:cstheme="minorHAnsi"/>
          <w:sz w:val="28"/>
          <w:szCs w:val="28"/>
        </w:rPr>
        <w:t>Des sensibilisations sont surtout faites sur la protection de données à caractère personnel par l’autorité de Protection des données personnelles.</w:t>
      </w:r>
    </w:p>
    <w:p w:rsidR="002C0C37" w:rsidRPr="002C0C37" w:rsidRDefault="002C0C37" w:rsidP="00CA111D">
      <w:pPr>
        <w:rPr>
          <w:rFonts w:cstheme="minorHAnsi"/>
          <w:sz w:val="28"/>
          <w:szCs w:val="28"/>
        </w:rPr>
      </w:pPr>
      <w:r w:rsidRPr="002C0C37">
        <w:rPr>
          <w:rFonts w:cstheme="minorHAnsi"/>
          <w:sz w:val="28"/>
          <w:szCs w:val="28"/>
        </w:rPr>
        <w:t xml:space="preserve">Lors de la célébration de la journée internationale de la presse, la thématique sur la cybersécurité a été amplement discutée par les hommes de media. </w:t>
      </w:r>
      <w:r w:rsidRPr="002C0C37">
        <w:rPr>
          <w:rFonts w:cstheme="minorHAnsi"/>
          <w:sz w:val="28"/>
          <w:szCs w:val="28"/>
        </w:rPr>
        <w:lastRenderedPageBreak/>
        <w:t>Néanmoins, Le Mali aura besoin d’une large campagne de sensibilisation à la cybersécurité</w:t>
      </w:r>
    </w:p>
    <w:p w:rsidR="00CA111D" w:rsidRPr="002C0C37" w:rsidRDefault="002C0C37" w:rsidP="00CA111D">
      <w:pPr>
        <w:rPr>
          <w:rFonts w:cstheme="minorHAnsi"/>
          <w:sz w:val="28"/>
          <w:szCs w:val="28"/>
        </w:rPr>
      </w:pPr>
      <w:r w:rsidRPr="002C0C37">
        <w:rPr>
          <w:rFonts w:cstheme="minorHAnsi"/>
          <w:sz w:val="28"/>
          <w:szCs w:val="28"/>
        </w:rPr>
        <w:t>Un regroupement</w:t>
      </w:r>
      <w:r w:rsidR="00CA111D" w:rsidRPr="002C0C37">
        <w:rPr>
          <w:rFonts w:cstheme="minorHAnsi"/>
          <w:sz w:val="28"/>
          <w:szCs w:val="28"/>
        </w:rPr>
        <w:t xml:space="preserve"> </w:t>
      </w:r>
      <w:r w:rsidR="00CA111D" w:rsidRPr="002C0C37">
        <w:rPr>
          <w:rFonts w:cstheme="minorHAnsi"/>
          <w:sz w:val="28"/>
          <w:szCs w:val="28"/>
        </w:rPr>
        <w:t>des compétences</w:t>
      </w:r>
      <w:r w:rsidR="00CA111D" w:rsidRPr="002C0C37">
        <w:rPr>
          <w:rFonts w:cstheme="minorHAnsi"/>
          <w:sz w:val="28"/>
          <w:szCs w:val="28"/>
        </w:rPr>
        <w:t xml:space="preserve"> dans le domaine est nécessaire et en plus un renforcement de capacité doit être de rigueur. </w:t>
      </w:r>
    </w:p>
    <w:p w:rsidR="00CA111D" w:rsidRPr="002C0C37" w:rsidRDefault="002C0C37" w:rsidP="00CA111D">
      <w:pPr>
        <w:rPr>
          <w:rFonts w:cstheme="minorHAnsi"/>
          <w:sz w:val="28"/>
          <w:szCs w:val="28"/>
        </w:rPr>
      </w:pPr>
      <w:r w:rsidRPr="002C0C37">
        <w:rPr>
          <w:rFonts w:cstheme="minorHAnsi"/>
          <w:sz w:val="28"/>
          <w:szCs w:val="28"/>
        </w:rPr>
        <w:t>Un contact avec le Ministère en charge de l’enseignement supérieur pour</w:t>
      </w:r>
      <w:r w:rsidR="00CA111D" w:rsidRPr="002C0C37">
        <w:rPr>
          <w:rFonts w:cstheme="minorHAnsi"/>
          <w:sz w:val="28"/>
          <w:szCs w:val="28"/>
        </w:rPr>
        <w:t xml:space="preserve"> faire intégrer la culture de cyber sécurité dans les cursus universitaires du pays</w:t>
      </w:r>
      <w:r w:rsidRPr="002C0C37">
        <w:rPr>
          <w:rFonts w:cstheme="minorHAnsi"/>
          <w:sz w:val="28"/>
          <w:szCs w:val="28"/>
        </w:rPr>
        <w:t xml:space="preserve"> sera privilégié</w:t>
      </w:r>
      <w:r w:rsidR="00CA111D" w:rsidRPr="002C0C37">
        <w:rPr>
          <w:rFonts w:cstheme="minorHAnsi"/>
          <w:sz w:val="28"/>
          <w:szCs w:val="28"/>
        </w:rPr>
        <w:t>.</w:t>
      </w:r>
    </w:p>
    <w:p w:rsidR="00463AB2" w:rsidRPr="002C0C37" w:rsidRDefault="00463AB2" w:rsidP="00CA111D">
      <w:pPr>
        <w:shd w:val="clear" w:color="auto" w:fill="FFFFFF"/>
        <w:spacing w:before="100" w:beforeAutospacing="1" w:after="0" w:line="195" w:lineRule="atLeast"/>
        <w:rPr>
          <w:rFonts w:cstheme="minorHAnsi"/>
          <w:sz w:val="28"/>
          <w:szCs w:val="28"/>
        </w:rPr>
      </w:pPr>
    </w:p>
    <w:sectPr w:rsidR="00463AB2" w:rsidRPr="002C0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4106"/>
    <w:multiLevelType w:val="multilevel"/>
    <w:tmpl w:val="656EB40C"/>
    <w:lvl w:ilvl="0">
      <w:start w:val="1"/>
      <w:numFmt w:val="bullet"/>
      <w:lvlText w:val="-"/>
      <w:lvlJc w:val="left"/>
      <w:pPr>
        <w:ind w:left="592" w:hanging="360"/>
      </w:pPr>
      <w:rPr>
        <w:rFonts w:ascii="Times New Roman" w:hAnsi="Times New Roman" w:cs="Times New Roman" w:hint="default"/>
      </w:rPr>
    </w:lvl>
    <w:lvl w:ilvl="1">
      <w:start w:val="1"/>
      <w:numFmt w:val="bullet"/>
      <w:lvlText w:val="o"/>
      <w:lvlJc w:val="left"/>
      <w:pPr>
        <w:ind w:left="1672" w:hanging="360"/>
      </w:pPr>
      <w:rPr>
        <w:rFonts w:ascii="Courier New" w:hAnsi="Courier New" w:cs="Courier New" w:hint="default"/>
      </w:rPr>
    </w:lvl>
    <w:lvl w:ilvl="2">
      <w:start w:val="1"/>
      <w:numFmt w:val="bullet"/>
      <w:lvlText w:val=""/>
      <w:lvlJc w:val="left"/>
      <w:pPr>
        <w:ind w:left="2392" w:hanging="360"/>
      </w:pPr>
      <w:rPr>
        <w:rFonts w:ascii="Wingdings" w:hAnsi="Wingdings" w:cs="Wingdings" w:hint="default"/>
      </w:rPr>
    </w:lvl>
    <w:lvl w:ilvl="3">
      <w:start w:val="1"/>
      <w:numFmt w:val="bullet"/>
      <w:lvlText w:val=""/>
      <w:lvlJc w:val="left"/>
      <w:pPr>
        <w:ind w:left="3112" w:hanging="360"/>
      </w:pPr>
      <w:rPr>
        <w:rFonts w:ascii="Symbol" w:hAnsi="Symbol" w:cs="Symbol" w:hint="default"/>
      </w:rPr>
    </w:lvl>
    <w:lvl w:ilvl="4">
      <w:start w:val="1"/>
      <w:numFmt w:val="bullet"/>
      <w:lvlText w:val="o"/>
      <w:lvlJc w:val="left"/>
      <w:pPr>
        <w:ind w:left="3832" w:hanging="360"/>
      </w:pPr>
      <w:rPr>
        <w:rFonts w:ascii="Courier New" w:hAnsi="Courier New" w:cs="Courier New" w:hint="default"/>
      </w:rPr>
    </w:lvl>
    <w:lvl w:ilvl="5">
      <w:start w:val="1"/>
      <w:numFmt w:val="bullet"/>
      <w:lvlText w:val=""/>
      <w:lvlJc w:val="left"/>
      <w:pPr>
        <w:ind w:left="4552" w:hanging="360"/>
      </w:pPr>
      <w:rPr>
        <w:rFonts w:ascii="Wingdings" w:hAnsi="Wingdings" w:cs="Wingdings" w:hint="default"/>
      </w:rPr>
    </w:lvl>
    <w:lvl w:ilvl="6">
      <w:start w:val="1"/>
      <w:numFmt w:val="bullet"/>
      <w:lvlText w:val=""/>
      <w:lvlJc w:val="left"/>
      <w:pPr>
        <w:ind w:left="5272" w:hanging="360"/>
      </w:pPr>
      <w:rPr>
        <w:rFonts w:ascii="Symbol" w:hAnsi="Symbol" w:cs="Symbol" w:hint="default"/>
      </w:rPr>
    </w:lvl>
    <w:lvl w:ilvl="7">
      <w:start w:val="1"/>
      <w:numFmt w:val="bullet"/>
      <w:lvlText w:val="o"/>
      <w:lvlJc w:val="left"/>
      <w:pPr>
        <w:ind w:left="5992" w:hanging="360"/>
      </w:pPr>
      <w:rPr>
        <w:rFonts w:ascii="Courier New" w:hAnsi="Courier New" w:cs="Courier New" w:hint="default"/>
      </w:rPr>
    </w:lvl>
    <w:lvl w:ilvl="8">
      <w:start w:val="1"/>
      <w:numFmt w:val="bullet"/>
      <w:lvlText w:val=""/>
      <w:lvlJc w:val="left"/>
      <w:pPr>
        <w:ind w:left="6712" w:hanging="360"/>
      </w:pPr>
      <w:rPr>
        <w:rFonts w:ascii="Wingdings" w:hAnsi="Wingdings" w:cs="Wingdings" w:hint="default"/>
      </w:rPr>
    </w:lvl>
  </w:abstractNum>
  <w:abstractNum w:abstractNumId="1" w15:restartNumberingAfterBreak="0">
    <w:nsid w:val="3F46303F"/>
    <w:multiLevelType w:val="hybridMultilevel"/>
    <w:tmpl w:val="606EE998"/>
    <w:lvl w:ilvl="0" w:tplc="19507808">
      <w:start w:val="6"/>
      <w:numFmt w:val="bullet"/>
      <w:lvlText w:val="-"/>
      <w:lvlJc w:val="left"/>
      <w:pPr>
        <w:ind w:left="1068" w:hanging="360"/>
      </w:pPr>
      <w:rPr>
        <w:rFonts w:ascii="Bookman Old Style" w:eastAsia="Times New Roman" w:hAnsi="Bookman Old Styl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9034393"/>
    <w:multiLevelType w:val="multilevel"/>
    <w:tmpl w:val="4248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84525D"/>
    <w:multiLevelType w:val="multilevel"/>
    <w:tmpl w:val="0D04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CA737D"/>
    <w:multiLevelType w:val="hybridMultilevel"/>
    <w:tmpl w:val="A42814EA"/>
    <w:lvl w:ilvl="0" w:tplc="19507808">
      <w:start w:val="6"/>
      <w:numFmt w:val="bullet"/>
      <w:lvlText w:val="-"/>
      <w:lvlJc w:val="left"/>
      <w:pPr>
        <w:ind w:left="720" w:hanging="360"/>
      </w:pPr>
      <w:rPr>
        <w:rFonts w:ascii="Bookman Old Style" w:eastAsia="Times New Roman" w:hAnsi="Bookman Old Style" w:cs="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F243E9"/>
    <w:multiLevelType w:val="multilevel"/>
    <w:tmpl w:val="21DC5352"/>
    <w:lvl w:ilvl="0">
      <w:start w:val="5"/>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A1B"/>
    <w:rsid w:val="00094086"/>
    <w:rsid w:val="0024760A"/>
    <w:rsid w:val="002C0C37"/>
    <w:rsid w:val="00341A94"/>
    <w:rsid w:val="00362AFB"/>
    <w:rsid w:val="00463AB2"/>
    <w:rsid w:val="00902C34"/>
    <w:rsid w:val="00B337AB"/>
    <w:rsid w:val="00C55A1B"/>
    <w:rsid w:val="00CA11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4B38"/>
  <w15:chartTrackingRefBased/>
  <w15:docId w15:val="{2127E465-3C07-44AA-B563-323C292D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55A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94086"/>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41A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1A94"/>
    <w:rPr>
      <w:rFonts w:ascii="Segoe UI" w:hAnsi="Segoe UI" w:cs="Segoe UI"/>
      <w:sz w:val="18"/>
      <w:szCs w:val="18"/>
    </w:rPr>
  </w:style>
  <w:style w:type="table" w:styleId="Grilledutableau">
    <w:name w:val="Table Grid"/>
    <w:basedOn w:val="TableauNormal"/>
    <w:uiPriority w:val="39"/>
    <w:rsid w:val="00247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uiPriority w:val="99"/>
    <w:rsid w:val="00B337AB"/>
    <w:rPr>
      <w:rFonts w:ascii="Arial" w:hAnsi="Arial"/>
      <w:color w:val="0000FF"/>
      <w:sz w:val="18"/>
      <w:u w:val="single"/>
    </w:rPr>
  </w:style>
  <w:style w:type="paragraph" w:customStyle="1" w:styleId="NormalCalibri116ptavant">
    <w:name w:val="Normal Calibri 11 6pt avant"/>
    <w:basedOn w:val="Normal"/>
    <w:qFormat/>
    <w:rsid w:val="00B337AB"/>
    <w:pPr>
      <w:spacing w:before="120" w:after="0" w:line="240" w:lineRule="auto"/>
      <w:jc w:val="both"/>
    </w:pPr>
    <w:rPr>
      <w:rFonts w:eastAsia="Calibri" w:cs="Times New Roman"/>
      <w:szCs w:val="24"/>
      <w:lang w:eastAsia="fr-FR"/>
    </w:rPr>
  </w:style>
  <w:style w:type="paragraph" w:customStyle="1" w:styleId="TiretCalibri110ptavant">
    <w:name w:val="Tiret Calibri 11 0pt avant"/>
    <w:basedOn w:val="NormalCalibri116ptavant"/>
    <w:qFormat/>
    <w:rsid w:val="00B337AB"/>
    <w:pPr>
      <w:spacing w:before="0"/>
    </w:pPr>
  </w:style>
  <w:style w:type="paragraph" w:customStyle="1" w:styleId="Tiret2">
    <w:name w:val="Tiret2"/>
    <w:basedOn w:val="Normal"/>
    <w:qFormat/>
    <w:rsid w:val="00B337AB"/>
    <w:pPr>
      <w:tabs>
        <w:tab w:val="left" w:pos="284"/>
        <w:tab w:val="left" w:pos="595"/>
        <w:tab w:val="left" w:pos="1020"/>
      </w:tabs>
      <w:suppressAutoHyphens/>
      <w:snapToGrid w:val="0"/>
      <w:spacing w:after="0" w:line="240" w:lineRule="auto"/>
      <w:ind w:left="284" w:hanging="284"/>
      <w:jc w:val="both"/>
    </w:pPr>
    <w:rPr>
      <w:rFonts w:eastAsia="Times New Roman" w:cstheme="minorHAnsi"/>
    </w:rPr>
  </w:style>
  <w:style w:type="paragraph" w:customStyle="1" w:styleId="TiretCalibri11pt6ptavant">
    <w:name w:val="Tiret Calibri 11pt 6pt avant"/>
    <w:basedOn w:val="TiretCalibri110ptavant"/>
    <w:qFormat/>
    <w:rsid w:val="00B337AB"/>
    <w:pPr>
      <w:spacing w:before="120"/>
    </w:pPr>
    <w:rPr>
      <w:rFonts w:cstheme="minorHAnsi"/>
      <w:szCs w:val="22"/>
    </w:rPr>
  </w:style>
  <w:style w:type="character" w:styleId="Lienhypertexte">
    <w:name w:val="Hyperlink"/>
    <w:uiPriority w:val="99"/>
    <w:rsid w:val="00B337AB"/>
    <w:rPr>
      <w:rFonts w:ascii="Arial" w:hAnsi="Arial"/>
      <w:color w:val="0000FF"/>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38.68.77.244/wp-content/uploads/2018/03/D&#233;cret-n&#176;2015-0975-PRM-fixant-les-proc&#233;dures-et-modalit&#233;s-dinterconnexion.pdf" TargetMode="External"/><Relationship Id="rId5" Type="http://schemas.openxmlformats.org/officeDocument/2006/relationships/hyperlink" Target="http://138.68.77.244/wp-content/uploads/2018/03/De&#769;cret-n&#176;2016-0274-PRM-fixant-les-conditions-et-les-proce&#769;dures-dagre&#769;ment-des-e&#769;quipements-de-te&#769;le&#769;communication-des-TIC.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605</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2021-09-20T15:36:00Z</cp:lastPrinted>
  <dcterms:created xsi:type="dcterms:W3CDTF">2021-09-21T11:55:00Z</dcterms:created>
  <dcterms:modified xsi:type="dcterms:W3CDTF">2021-09-21T15:11:00Z</dcterms:modified>
</cp:coreProperties>
</file>